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bookmarkStart w:colFirst="0" w:colLast="0" w:name="bookmark=id.q02e7yu4f4hs" w:id="0"/>
    <w:bookmarkEnd w:id="0"/>
    <w:p w:rsidR="00000000" w:rsidDel="00000000" w:rsidP="00000000" w:rsidRDefault="00000000" w:rsidRPr="00000000" w14:paraId="00000001">
      <w:pPr>
        <w:ind w:right="-79"/>
        <w:jc w:val="center"/>
        <w:rPr>
          <w:b w:val="0"/>
          <w:bCs w:val="0"/>
          <w:sz w:val="32"/>
          <w:szCs w:val="32"/>
          <w:vertAlign w:val="baseline"/>
        </w:rPr>
      </w:pPr>
      <w:r w:rsidDel="00000000" w:rsidR="00000000" w:rsidRPr="00000000">
        <w:rPr/>
        <w:drawing>
          <wp:anchor allowOverlap="1" behindDoc="1" distB="0" distT="0" distL="0" distR="0" hidden="0" layoutInCell="1" locked="0" relativeHeight="0" simplePos="0">
            <wp:simplePos x="0" y="0"/>
            <wp:positionH relativeFrom="page">
              <wp:posOffset>295910</wp:posOffset>
            </wp:positionH>
            <wp:positionV relativeFrom="page">
              <wp:posOffset>95885</wp:posOffset>
            </wp:positionV>
            <wp:extent cx="735330" cy="658495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35330" cy="65849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b w:val="1"/>
          <w:bCs w:val="1"/>
          <w:sz w:val="32"/>
          <w:szCs w:val="32"/>
          <w:vertAlign w:val="baseline"/>
          <w:rtl w:val="0"/>
        </w:rPr>
        <w:t xml:space="preserve">Annexe 7 CCTP ARA - RÉPARTITION DES FRAIS 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right="-79"/>
        <w:jc w:val="center"/>
        <w:rPr>
          <w:b w:val="0"/>
          <w:bCs w:val="0"/>
          <w:sz w:val="32"/>
          <w:szCs w:val="32"/>
          <w:vertAlign w:val="baseline"/>
        </w:rPr>
      </w:pPr>
      <w:r w:rsidDel="00000000" w:rsidR="00000000" w:rsidRPr="00000000">
        <w:rPr>
          <w:b w:val="1"/>
          <w:bCs w:val="1"/>
          <w:sz w:val="32"/>
          <w:szCs w:val="32"/>
          <w:vertAlign w:val="baseline"/>
          <w:rtl w:val="0"/>
        </w:rPr>
        <w:t xml:space="preserve">FONCTIONNEMENT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20.0" w:type="dxa"/>
        <w:jc w:val="left"/>
        <w:tblInd w:w="10.0" w:type="dxa"/>
        <w:tblLayout w:type="fixed"/>
        <w:tblLook w:val="0000"/>
      </w:tblPr>
      <w:tblGrid>
        <w:gridCol w:w="5700"/>
        <w:gridCol w:w="1560"/>
        <w:gridCol w:w="1860"/>
        <w:tblGridChange w:id="0">
          <w:tblGrid>
            <w:gridCol w:w="5700"/>
            <w:gridCol w:w="1560"/>
            <w:gridCol w:w="1860"/>
          </w:tblGrid>
        </w:tblGridChange>
      </w:tblGrid>
      <w:tr>
        <w:trPr>
          <w:cantSplit w:val="0"/>
          <w:trHeight w:val="298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05">
            <w:pPr>
              <w:ind w:left="1620" w:firstLine="0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Frais de fonctionnement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06">
            <w:pPr>
              <w:jc w:val="center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Client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07">
            <w:pPr>
              <w:jc w:val="center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Titulaire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3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08">
            <w:pPr>
              <w:ind w:left="1900" w:firstLine="0"/>
              <w:rPr>
                <w:b w:val="0"/>
                <w:bCs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Bron / Isle d’Abeau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09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0A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0B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0C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0D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0E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Fluides (consommations) – eau, électricité, gaz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0F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10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2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3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4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Fluides (abonnements) – eau, électricité, gaz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15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7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9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A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Téléphone (abonnement)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1B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E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1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0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Téléphone (consommation)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21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4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5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6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Contrat de maintenance immeuble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27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28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9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B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C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Contrat de nettoyage des hottes et filtres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2D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2E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2F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0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1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2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2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Contrat de nettoyage des gaines d'extraction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33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34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5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6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7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2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8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Contrat de maintenance préventive équipements de cuisine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39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9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B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(2 visites par an)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3C">
            <w:pPr>
              <w:rPr>
                <w:rFonts w:ascii="Times New Roman" w:cs="Times New Roman" w:eastAsia="Times New Roman" w:hAnsi="Times New Roman"/>
                <w:sz w:val="23"/>
                <w:szCs w:val="23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3D">
            <w:pPr>
              <w:rPr>
                <w:rFonts w:ascii="Times New Roman" w:cs="Times New Roman" w:eastAsia="Times New Roman" w:hAnsi="Times New Roman"/>
                <w:sz w:val="23"/>
                <w:szCs w:val="23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E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3F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0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2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1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Entretien curatif équipements de cuisine (Main d’œuvre et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42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43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4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frais de déplacement compris – pièces et fourniture sur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45">
            <w:pPr>
              <w:rPr>
                <w:rFonts w:ascii="Times New Roman" w:cs="Times New Roman" w:eastAsia="Times New Roman" w:hAnsi="Times New Roman"/>
                <w:sz w:val="23"/>
                <w:szCs w:val="23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46">
            <w:pPr>
              <w:jc w:val="center"/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9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7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devis)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48">
            <w:pPr>
              <w:rPr>
                <w:rFonts w:ascii="Times New Roman" w:cs="Times New Roman" w:eastAsia="Times New Roman" w:hAnsi="Times New Roman"/>
                <w:sz w:val="23"/>
                <w:szCs w:val="23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49">
            <w:pPr>
              <w:rPr>
                <w:rFonts w:ascii="Times New Roman" w:cs="Times New Roman" w:eastAsia="Times New Roman" w:hAnsi="Times New Roman"/>
                <w:sz w:val="23"/>
                <w:szCs w:val="23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3"/>
                <w:szCs w:val="23"/>
                <w:vertAlign w:val="baseline"/>
                <w:rtl w:val="0"/>
              </w:rPr>
              <w:t xml:space="preserve">Si option retenue</w:t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A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B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C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4D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Nettoyage cuisine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4E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0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1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2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3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Nettoyage abords de livraison et évacuation déchets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54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55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6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7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8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2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9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Nettoyage quotidien salle à manger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5A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jc w:val="center"/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  <w:rtl w:val="0"/>
              </w:rPr>
              <w:t xml:space="preserve">Pour le restaurant de Bron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jc w:val="center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Pour le restaurant d’Isle d’Abeau</w:t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E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5F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0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2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1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Nettoyage et rangement des tables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62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4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5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6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7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Nettoyage de la vitrerie et des luminaires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69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A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B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C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D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Nettoyage quotidien de l’espace distribution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6E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6F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9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0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1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2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3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Nettoyage verrerie vaisselle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74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6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7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8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9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Nettoyage gros et petit matériel de cuisine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7A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C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D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E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F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Enlèvement des ordures jusqu'au local à ordures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80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81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2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3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4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120.0" w:type="dxa"/>
        <w:jc w:val="left"/>
        <w:tblInd w:w="10.0" w:type="dxa"/>
        <w:tblLayout w:type="fixed"/>
        <w:tblLook w:val="0000"/>
      </w:tblPr>
      <w:tblGrid>
        <w:gridCol w:w="5700"/>
        <w:gridCol w:w="1560"/>
        <w:gridCol w:w="1860"/>
        <w:tblGridChange w:id="0">
          <w:tblGrid>
            <w:gridCol w:w="5700"/>
            <w:gridCol w:w="1560"/>
            <w:gridCol w:w="1860"/>
          </w:tblGrid>
        </w:tblGridChange>
      </w:tblGrid>
      <w:tr>
        <w:trPr>
          <w:cantSplit w:val="0"/>
          <w:trHeight w:val="27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6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Fourniture des sacs poubelles</w:t>
            </w:r>
          </w:p>
        </w:tc>
        <w:tc>
          <w:tcPr>
            <w:tcBorders>
              <w:top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7">
            <w:pPr>
              <w:rPr>
                <w:rFonts w:ascii="Times New Roman" w:cs="Times New Roman" w:eastAsia="Times New Roman" w:hAnsi="Times New Roman"/>
                <w:sz w:val="23"/>
                <w:szCs w:val="23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8">
            <w:pPr>
              <w:ind w:left="860" w:firstLine="0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9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9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A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B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C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Fourniture des produits d'entretien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8D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8E">
            <w:pPr>
              <w:ind w:left="860" w:firstLine="0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F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0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1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2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Fourniture et entretien du linge de cuisine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93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94">
            <w:pPr>
              <w:ind w:left="860" w:firstLine="0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5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6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7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8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Fourniture et entretien des tenues du personnel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99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9A">
            <w:pPr>
              <w:ind w:left="860" w:firstLine="0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B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C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D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E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Fourniture des serviettes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ouates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9F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A0">
            <w:pPr>
              <w:ind w:left="860" w:firstLine="0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1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2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3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4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Entretien des sanitaires clients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A5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A6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7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8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9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2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A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Fourniture des consommables sanitaires clients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AB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AC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D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E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F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3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0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Analyses bactériologiques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B1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B2">
            <w:pPr>
              <w:ind w:left="860" w:firstLine="0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3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4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5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6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Fournitures de bureau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B7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B8">
            <w:pPr>
              <w:ind w:left="860" w:firstLine="0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9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A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B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C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Dotation initiale de la verrerie vaisselle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BD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BE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F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0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1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2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Renouvellement de la verrerie vaisselle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C3">
            <w:pPr>
              <w:jc w:val="center"/>
              <w:rPr>
                <w:b w:val="0"/>
                <w:bCs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C4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X </w:t>
            </w: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(dotation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3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5">
            <w:pPr>
              <w:rPr>
                <w:rFonts w:ascii="Times New Roman" w:cs="Times New Roman" w:eastAsia="Times New Roman" w:hAnsi="Times New Roman"/>
                <w:sz w:val="19"/>
                <w:szCs w:val="19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C6">
            <w:pPr>
              <w:jc w:val="center"/>
              <w:rPr>
                <w:b w:val="0"/>
                <w:bCs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C7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initiale = dotation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18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8">
            <w:pPr>
              <w:rPr>
                <w:rFonts w:ascii="Times New Roman" w:cs="Times New Roman" w:eastAsia="Times New Roman" w:hAnsi="Times New Roman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C9">
            <w:pPr>
              <w:jc w:val="center"/>
              <w:rPr>
                <w:b w:val="0"/>
                <w:bCs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CA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finale en fin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1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B">
            <w:pPr>
              <w:rPr>
                <w:rFonts w:ascii="Times New Roman" w:cs="Times New Roman" w:eastAsia="Times New Roman" w:hAnsi="Times New Roman"/>
                <w:sz w:val="19"/>
                <w:szCs w:val="19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CC">
            <w:pPr>
              <w:jc w:val="center"/>
              <w:rPr>
                <w:b w:val="0"/>
                <w:bCs w:val="0"/>
                <w:sz w:val="18"/>
                <w:szCs w:val="1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CD">
            <w:pPr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d’année)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E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F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D0">
            <w:pPr>
              <w:rPr>
                <w:rFonts w:ascii="Times New Roman" w:cs="Times New Roman" w:eastAsia="Times New Roman" w:hAnsi="Times New Roman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2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D1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Dotation initiale du petit mat. professionnel et platerie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D2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D3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D4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D5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D6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2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D7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Renouvellement du petit mat. professionnel et platerie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D8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D9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DA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DB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DC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2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DD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Renouvellement du matériel professionnel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DE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DF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E0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E1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E2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E3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Assurances multirisques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E4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E5">
            <w:pPr>
              <w:ind w:left="860" w:firstLine="0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E6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E7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E8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E9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Assurance responsabilité civile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EA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EB">
            <w:pPr>
              <w:ind w:left="860" w:firstLine="0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EC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ED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EE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EF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Taxes diverses et professionnelles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F0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F1">
            <w:pPr>
              <w:ind w:left="860" w:firstLine="0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F2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F3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F4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F5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Traitement comptable, informatique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F6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F7">
            <w:pPr>
              <w:ind w:left="860" w:firstLine="0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F8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F9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FA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FB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Déplacement du Gérant du restaurant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FC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0FD">
            <w:pPr>
              <w:ind w:left="860" w:firstLine="0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FE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FF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00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1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01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Location et enlèvement des conteneurs à ordures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102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103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04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05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06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07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Taxe ordure ménagère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108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109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0A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0B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0C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0D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Contrat désinsectisation, dératisation (2 visites par an)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10E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10F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10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11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12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13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Entretien bac à graisses (3 interventions par an) - Pompage,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114">
            <w:pPr>
              <w:jc w:val="center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115">
            <w:pPr>
              <w:jc w:val="center"/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16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nettoyage, curage des installations, frais de collecte et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17">
            <w:pPr>
              <w:rPr>
                <w:rFonts w:ascii="Times New Roman" w:cs="Times New Roman" w:eastAsia="Times New Roman" w:hAnsi="Times New Roman"/>
                <w:sz w:val="23"/>
                <w:szCs w:val="23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18">
            <w:pPr>
              <w:rPr>
                <w:rFonts w:ascii="Times New Roman" w:cs="Times New Roman" w:eastAsia="Times New Roman" w:hAnsi="Times New Roman"/>
                <w:sz w:val="23"/>
                <w:szCs w:val="23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9" w:hRule="atLeast"/>
          <w:tblHeader w:val="0"/>
        </w:trPr>
        <w:tc>
          <w:tcPr/>
          <w:p w:rsidR="00000000" w:rsidDel="00000000" w:rsidP="00000000" w:rsidRDefault="00000000" w:rsidRPr="00000000" w14:paraId="00000119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A">
            <w:pPr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B">
            <w:pPr>
              <w:ind w:left="1720" w:firstLine="0"/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  <w:rtl w:val="0"/>
              </w:rPr>
              <w:t xml:space="preserve">2</w:t>
            </w:r>
          </w:p>
        </w:tc>
      </w:tr>
    </w:tbl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120.0" w:type="dxa"/>
        <w:jc w:val="left"/>
        <w:tblInd w:w="10.0" w:type="dxa"/>
        <w:tblLayout w:type="fixed"/>
        <w:tblLook w:val="0000"/>
      </w:tblPr>
      <w:tblGrid>
        <w:gridCol w:w="5700"/>
        <w:gridCol w:w="1560"/>
        <w:gridCol w:w="1860"/>
        <w:tblGridChange w:id="0">
          <w:tblGrid>
            <w:gridCol w:w="5700"/>
            <w:gridCol w:w="1560"/>
            <w:gridCol w:w="1860"/>
          </w:tblGrid>
        </w:tblGridChange>
      </w:tblGrid>
      <w:tr>
        <w:trPr>
          <w:cantSplit w:val="0"/>
          <w:trHeight w:val="27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1D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élimination des déchets graisseux</w:t>
            </w:r>
          </w:p>
        </w:tc>
        <w:tc>
          <w:tcPr>
            <w:tcBorders>
              <w:top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1E">
            <w:pPr>
              <w:jc w:val="center"/>
              <w:rPr>
                <w:rFonts w:ascii="Times New Roman" w:cs="Times New Roman" w:eastAsia="Times New Roman" w:hAnsi="Times New Roman"/>
                <w:sz w:val="23"/>
                <w:szCs w:val="23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1F">
            <w:pPr>
              <w:rPr>
                <w:rFonts w:ascii="Times New Roman" w:cs="Times New Roman" w:eastAsia="Times New Roman" w:hAnsi="Times New Roman"/>
                <w:sz w:val="23"/>
                <w:szCs w:val="23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9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20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21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22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23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Enlèvement des emballages (principalement des cartons)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124">
            <w:pPr>
              <w:ind w:left="700" w:firstLine="0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125">
            <w:pPr>
              <w:jc w:val="center"/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26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27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28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29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Prévention incendie (entretien extincteur...)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12A">
            <w:pPr>
              <w:ind w:left="700" w:firstLine="0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12B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2C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2D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2E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2F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Achat caisses enregistreuses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130">
            <w:pPr>
              <w:ind w:left="700" w:firstLine="0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131">
            <w:pPr>
              <w:ind w:left="700" w:firstLine="0"/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   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32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33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34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0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35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Achat et entretien micro poste de gestion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136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137">
            <w:pPr>
              <w:ind w:left="860" w:firstLine="0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38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39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3A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8.5546875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3B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Entretien caisses enregistreuses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13C">
            <w:pPr>
              <w:ind w:left="700" w:firstLine="0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13D">
            <w:pPr>
              <w:ind w:left="700" w:firstLine="0"/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   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3E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3F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40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2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41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Consommable caisse et micro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142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143">
            <w:pPr>
              <w:ind w:left="860" w:firstLine="0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6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44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45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46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3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47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Mise à disposition de distributeurs automatiques café et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148">
            <w:pPr>
              <w:rPr>
                <w:rFonts w:ascii="Times New Roman" w:cs="Times New Roman" w:eastAsia="Times New Roman" w:hAnsi="Times New Roman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149">
            <w:pPr>
              <w:ind w:left="860" w:firstLine="0"/>
              <w:rPr>
                <w:b w:val="0"/>
                <w:bCs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9" w:hRule="atLeast"/>
          <w:tblHeader w:val="0"/>
        </w:trPr>
        <w:tc>
          <w:tcPr>
            <w:tcBorders>
              <w:left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4A">
            <w:pPr>
              <w:ind w:left="120" w:firstLine="0"/>
              <w:rPr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vertAlign w:val="baseline"/>
                <w:rtl w:val="0"/>
              </w:rPr>
              <w:t xml:space="preserve">restauration rapide</w:t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14B">
            <w:pPr>
              <w:rPr>
                <w:rFonts w:ascii="Times New Roman" w:cs="Times New Roman" w:eastAsia="Times New Roman" w:hAnsi="Times New Roman"/>
                <w:sz w:val="23"/>
                <w:szCs w:val="23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8" w:val="single"/>
            </w:tcBorders>
          </w:tcPr>
          <w:p w:rsidR="00000000" w:rsidDel="00000000" w:rsidP="00000000" w:rsidRDefault="00000000" w:rsidRPr="00000000" w14:paraId="0000014C">
            <w:pPr>
              <w:rPr>
                <w:rFonts w:ascii="Times New Roman" w:cs="Times New Roman" w:eastAsia="Times New Roman" w:hAnsi="Times New Roman"/>
                <w:sz w:val="23"/>
                <w:szCs w:val="23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8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4D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4E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14F">
            <w:pPr>
              <w:rPr>
                <w:rFonts w:ascii="Times New Roman" w:cs="Times New Roman" w:eastAsia="Times New Roman" w:hAnsi="Times New Roman"/>
                <w:sz w:val="21"/>
                <w:szCs w:val="21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0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F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ind w:left="8980" w:firstLine="0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3</w:t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5840" w:w="12240" w:orient="portrait"/>
      <w:pgMar w:bottom="415" w:top="1432" w:left="136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6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6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6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6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6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6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f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3.xml"/><Relationship Id="rId13" Type="http://schemas.openxmlformats.org/officeDocument/2006/relationships/footer" Target="footer3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1Qg7yaX9vXpKRhNojGHLbHaKjg==">CgMxLjAyD2lkLnEwMmU3eXU0ZjRoczgAciExc2JZeV9Eb0lqdEdubHFBSGlCaWNQdXBwOTkwNVRWaGk=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